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DD0C0" w14:textId="4AD08AC8" w:rsidR="00AB2FF5" w:rsidRDefault="00BF751C">
      <w:pPr>
        <w:spacing w:after="117" w:line="259" w:lineRule="auto"/>
        <w:ind w:left="840" w:firstLine="0"/>
        <w:jc w:val="left"/>
      </w:pPr>
      <w:r>
        <w:rPr>
          <w:noProof/>
        </w:rPr>
        <w:drawing>
          <wp:anchor distT="0" distB="0" distL="114300" distR="114300" simplePos="0" relativeHeight="251658240" behindDoc="0" locked="0" layoutInCell="1" allowOverlap="0" wp14:anchorId="79960F8B" wp14:editId="0CDF3292">
            <wp:simplePos x="0" y="0"/>
            <wp:positionH relativeFrom="column">
              <wp:posOffset>533400</wp:posOffset>
            </wp:positionH>
            <wp:positionV relativeFrom="paragraph">
              <wp:posOffset>45707</wp:posOffset>
            </wp:positionV>
            <wp:extent cx="762000" cy="762000"/>
            <wp:effectExtent l="0" t="0" r="0" b="0"/>
            <wp:wrapSquare wrapText="bothSides"/>
            <wp:docPr id="74" name="Picture 74"/>
            <wp:cNvGraphicFramePr/>
            <a:graphic xmlns:a="http://schemas.openxmlformats.org/drawingml/2006/main">
              <a:graphicData uri="http://schemas.openxmlformats.org/drawingml/2006/picture">
                <pic:pic xmlns:pic="http://schemas.openxmlformats.org/drawingml/2006/picture">
                  <pic:nvPicPr>
                    <pic:cNvPr id="74" name="Picture 74"/>
                    <pic:cNvPicPr/>
                  </pic:nvPicPr>
                  <pic:blipFill>
                    <a:blip r:embed="rId5"/>
                    <a:stretch>
                      <a:fillRect/>
                    </a:stretch>
                  </pic:blipFill>
                  <pic:spPr>
                    <a:xfrm>
                      <a:off x="0" y="0"/>
                      <a:ext cx="762000" cy="762000"/>
                    </a:xfrm>
                    <a:prstGeom prst="rect">
                      <a:avLst/>
                    </a:prstGeom>
                  </pic:spPr>
                </pic:pic>
              </a:graphicData>
            </a:graphic>
          </wp:anchor>
        </w:drawing>
      </w:r>
      <w:r>
        <w:rPr>
          <w:noProof/>
        </w:rPr>
        <w:drawing>
          <wp:anchor distT="0" distB="0" distL="114300" distR="114300" simplePos="0" relativeHeight="251659264" behindDoc="0" locked="0" layoutInCell="1" allowOverlap="0" wp14:anchorId="69A3D43E" wp14:editId="4D123A1F">
            <wp:simplePos x="0" y="0"/>
            <wp:positionH relativeFrom="column">
              <wp:posOffset>6210300</wp:posOffset>
            </wp:positionH>
            <wp:positionV relativeFrom="paragraph">
              <wp:posOffset>45707</wp:posOffset>
            </wp:positionV>
            <wp:extent cx="800100" cy="80010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6"/>
                    <a:stretch>
                      <a:fillRect/>
                    </a:stretch>
                  </pic:blipFill>
                  <pic:spPr>
                    <a:xfrm>
                      <a:off x="0" y="0"/>
                      <a:ext cx="800100" cy="800100"/>
                    </a:xfrm>
                    <a:prstGeom prst="rect">
                      <a:avLst/>
                    </a:prstGeom>
                  </pic:spPr>
                </pic:pic>
              </a:graphicData>
            </a:graphic>
          </wp:anchor>
        </w:drawing>
      </w:r>
    </w:p>
    <w:p w14:paraId="144E04A8" w14:textId="77777777" w:rsidR="00AB2FF5" w:rsidRDefault="00BF751C">
      <w:pPr>
        <w:spacing w:after="0" w:line="265" w:lineRule="auto"/>
        <w:ind w:left="850"/>
        <w:jc w:val="center"/>
      </w:pPr>
      <w:r>
        <w:t>T.C.</w:t>
      </w:r>
    </w:p>
    <w:p w14:paraId="10156FA2" w14:textId="77777777" w:rsidR="00AB2FF5" w:rsidRDefault="00BF751C">
      <w:pPr>
        <w:spacing w:after="0" w:line="265" w:lineRule="auto"/>
        <w:ind w:left="850"/>
        <w:jc w:val="center"/>
      </w:pPr>
      <w:r>
        <w:t>ULAŞTIRMA VE ALTYAPI BAKANLIĞI</w:t>
      </w:r>
    </w:p>
    <w:p w14:paraId="21686216" w14:textId="77777777" w:rsidR="00AB2FF5" w:rsidRDefault="00BF751C">
      <w:pPr>
        <w:spacing w:after="394" w:line="265" w:lineRule="auto"/>
        <w:ind w:left="850"/>
        <w:jc w:val="center"/>
      </w:pPr>
      <w:r>
        <w:t>Ulaştırma Hizmetleri Düzenleme Genel Müdürlüğü</w:t>
      </w:r>
    </w:p>
    <w:p w14:paraId="3C879D5D" w14:textId="77777777" w:rsidR="00AB2FF5" w:rsidRDefault="00BF751C">
      <w:pPr>
        <w:spacing w:after="15" w:line="259" w:lineRule="auto"/>
        <w:ind w:left="0" w:firstLine="0"/>
        <w:jc w:val="left"/>
      </w:pPr>
      <w:r>
        <w:t xml:space="preserve"> </w:t>
      </w:r>
    </w:p>
    <w:p w14:paraId="39ACDB8B" w14:textId="77777777" w:rsidR="00AB2FF5" w:rsidRDefault="00BF751C">
      <w:pPr>
        <w:spacing w:after="0" w:line="259" w:lineRule="auto"/>
        <w:ind w:left="0" w:firstLine="0"/>
        <w:jc w:val="left"/>
      </w:pPr>
      <w:r>
        <w:t xml:space="preserve"> </w:t>
      </w:r>
    </w:p>
    <w:p w14:paraId="376F2668" w14:textId="77777777" w:rsidR="00AB2FF5" w:rsidRDefault="00BF751C">
      <w:pPr>
        <w:tabs>
          <w:tab w:val="center" w:pos="1248"/>
          <w:tab w:val="center" w:pos="3279"/>
        </w:tabs>
        <w:spacing w:after="72"/>
        <w:ind w:left="0" w:firstLine="0"/>
        <w:jc w:val="left"/>
      </w:pPr>
      <w:r>
        <w:rPr>
          <w:rFonts w:ascii="Calibri" w:eastAsia="Calibri" w:hAnsi="Calibri" w:cs="Calibri"/>
          <w:sz w:val="22"/>
        </w:rPr>
        <w:tab/>
      </w:r>
      <w:r>
        <w:t>Sayı</w:t>
      </w:r>
      <w:r>
        <w:tab/>
        <w:t>:E-14511534-360.99-2588547</w:t>
      </w:r>
    </w:p>
    <w:p w14:paraId="3E21457D" w14:textId="77777777" w:rsidR="00AB2FF5" w:rsidRDefault="00BF751C">
      <w:pPr>
        <w:tabs>
          <w:tab w:val="center" w:pos="1302"/>
          <w:tab w:val="center" w:pos="3643"/>
        </w:tabs>
        <w:spacing w:after="42"/>
        <w:ind w:left="0" w:firstLine="0"/>
        <w:jc w:val="left"/>
      </w:pPr>
      <w:r>
        <w:rPr>
          <w:rFonts w:ascii="Calibri" w:eastAsia="Calibri" w:hAnsi="Calibri" w:cs="Calibri"/>
          <w:sz w:val="22"/>
        </w:rPr>
        <w:tab/>
      </w:r>
      <w:r>
        <w:t>Konu</w:t>
      </w:r>
      <w:r>
        <w:tab/>
        <w:t>:İşletme Denetimi Genelgesi (2024/2)</w:t>
      </w:r>
    </w:p>
    <w:p w14:paraId="1D73A0DB" w14:textId="77777777" w:rsidR="00AB2FF5" w:rsidRDefault="00BF751C">
      <w:pPr>
        <w:spacing w:after="75" w:line="259" w:lineRule="auto"/>
        <w:ind w:left="0" w:firstLine="0"/>
        <w:jc w:val="left"/>
      </w:pPr>
      <w:r>
        <w:t xml:space="preserve"> </w:t>
      </w:r>
    </w:p>
    <w:p w14:paraId="77EEC03B" w14:textId="77777777" w:rsidR="00AB2FF5" w:rsidRDefault="00BF751C">
      <w:pPr>
        <w:pStyle w:val="Balk1"/>
        <w:spacing w:after="30"/>
        <w:ind w:left="1020"/>
      </w:pPr>
      <w:r>
        <w:t>DAĞITIM YERLERİNE</w:t>
      </w:r>
    </w:p>
    <w:p w14:paraId="1D518D00" w14:textId="77777777" w:rsidR="00AB2FF5" w:rsidRDefault="00BF751C">
      <w:pPr>
        <w:spacing w:after="60" w:line="259" w:lineRule="auto"/>
        <w:ind w:left="0" w:firstLine="0"/>
        <w:jc w:val="left"/>
      </w:pPr>
      <w:r>
        <w:t xml:space="preserve"> </w:t>
      </w:r>
    </w:p>
    <w:p w14:paraId="5C9AEC53" w14:textId="77777777" w:rsidR="00AB2FF5" w:rsidRDefault="00BF751C">
      <w:pPr>
        <w:tabs>
          <w:tab w:val="center" w:pos="1186"/>
          <w:tab w:val="center" w:pos="5227"/>
        </w:tabs>
        <w:ind w:left="0" w:firstLine="0"/>
        <w:jc w:val="left"/>
      </w:pPr>
      <w:r>
        <w:rPr>
          <w:rFonts w:ascii="Calibri" w:eastAsia="Calibri" w:hAnsi="Calibri" w:cs="Calibri"/>
          <w:sz w:val="22"/>
        </w:rPr>
        <w:tab/>
      </w:r>
      <w:r>
        <w:t>İlgi</w:t>
      </w:r>
      <w:r>
        <w:tab/>
        <w:t xml:space="preserve">: </w:t>
      </w:r>
      <w:r>
        <w:t>a) Tehlikeli Maddelerin Karayoluyla Taşınması Hakkında Yönetmelik.</w:t>
      </w:r>
    </w:p>
    <w:p w14:paraId="3E691640" w14:textId="77777777" w:rsidR="00AB2FF5" w:rsidRDefault="00BF751C">
      <w:pPr>
        <w:ind w:left="1900"/>
      </w:pPr>
      <w:r>
        <w:t>b)03.09.2024 tarihli ve 2024/2 sayılı İşletme Denetimi Genelgesi.</w:t>
      </w:r>
    </w:p>
    <w:p w14:paraId="608776E1" w14:textId="77777777" w:rsidR="00AB2FF5" w:rsidRDefault="00BF751C">
      <w:pPr>
        <w:spacing w:after="0" w:line="259" w:lineRule="auto"/>
        <w:ind w:left="0" w:firstLine="0"/>
        <w:jc w:val="left"/>
      </w:pPr>
      <w:r>
        <w:t xml:space="preserve"> </w:t>
      </w:r>
    </w:p>
    <w:p w14:paraId="47E88994" w14:textId="77777777" w:rsidR="00AB2FF5" w:rsidRDefault="00BF751C">
      <w:pPr>
        <w:ind w:left="1030"/>
      </w:pPr>
      <w:r>
        <w:rPr>
          <w:noProof/>
        </w:rPr>
        <w:drawing>
          <wp:inline distT="0" distB="0" distL="0" distR="0" wp14:anchorId="4F4C8ACE" wp14:editId="4675EEFB">
            <wp:extent cx="438150" cy="9525"/>
            <wp:effectExtent l="0" t="0" r="0" b="0"/>
            <wp:docPr id="26" name="Pictu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tretch>
                      <a:fillRect/>
                    </a:stretch>
                  </pic:blipFill>
                  <pic:spPr>
                    <a:xfrm>
                      <a:off x="0" y="0"/>
                      <a:ext cx="438150" cy="9525"/>
                    </a:xfrm>
                    <a:prstGeom prst="rect">
                      <a:avLst/>
                    </a:prstGeom>
                  </pic:spPr>
                </pic:pic>
              </a:graphicData>
            </a:graphic>
          </wp:inline>
        </w:drawing>
      </w:r>
      <w:r>
        <w:t>Bilindiği üzere; ilgi (a) Yönetmelik hükümleri kapsamında, tehlikeli madde taşımacılığı zincirinde yer alan tarafların k</w:t>
      </w:r>
      <w:r>
        <w:t xml:space="preserve">ayıt altına alınması, tehlikeli madde güvenlik danışmanlığı (TMGD) hizmetinin daha nitelikli hale getirilmesi ve işletme denetimlerinin daha etkin bir şekilde yapılmasını </w:t>
      </w:r>
      <w:proofErr w:type="spellStart"/>
      <w:r>
        <w:t>teminen</w:t>
      </w:r>
      <w:proofErr w:type="spellEnd"/>
      <w:r>
        <w:t xml:space="preserve"> 03.09.2024 tarihli ve 2024/2 sayılı ilgi (b) Genelge yayımlanmıştır.</w:t>
      </w:r>
    </w:p>
    <w:p w14:paraId="3EF2C590" w14:textId="77777777" w:rsidR="00AB2FF5" w:rsidRDefault="00BF751C">
      <w:pPr>
        <w:ind w:left="1030"/>
      </w:pPr>
      <w:r>
        <w:rPr>
          <w:noProof/>
        </w:rPr>
        <w:drawing>
          <wp:inline distT="0" distB="0" distL="0" distR="0" wp14:anchorId="355DED79" wp14:editId="6F6C1013">
            <wp:extent cx="438150" cy="9525"/>
            <wp:effectExtent l="0" t="0" r="0" b="0"/>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7"/>
                    <a:stretch>
                      <a:fillRect/>
                    </a:stretch>
                  </pic:blipFill>
                  <pic:spPr>
                    <a:xfrm>
                      <a:off x="0" y="0"/>
                      <a:ext cx="438150" cy="9525"/>
                    </a:xfrm>
                    <a:prstGeom prst="rect">
                      <a:avLst/>
                    </a:prstGeom>
                  </pic:spPr>
                </pic:pic>
              </a:graphicData>
            </a:graphic>
          </wp:inline>
        </w:drawing>
      </w:r>
      <w:r>
        <w:t>Söz kon</w:t>
      </w:r>
      <w:r>
        <w:t>usu Genelge ile tehlikeli madde taşımacılık zinciri içerisinde yer alan Tehlikeli Madde Faaliyet Belgesine sahip işletmelere yükümlülükleri ile ilgili olarak dokümanları (prosedür, talimat, liste, kontrol formu ve takip formu) 01.12.2024 tarihine kadar olu</w:t>
      </w:r>
      <w:r>
        <w:t>şturma zorunluluğu getirilmiş ve yine Genelgenin Ek-4'ünde yer alan tanımlar ile tehlikeli madde taşımacılığında yer alan tarafların hazırlaması gereken dokümanlara (prosedür, talimat, liste, kontrol formu ve takip formu) ilişkin gerekli açıklamalar yapılm</w:t>
      </w:r>
      <w:r>
        <w:t>ıştır.</w:t>
      </w:r>
    </w:p>
    <w:p w14:paraId="0291F424" w14:textId="77777777" w:rsidR="00AB2FF5" w:rsidRDefault="00BF751C">
      <w:pPr>
        <w:ind w:left="1030"/>
      </w:pPr>
      <w:r>
        <w:rPr>
          <w:noProof/>
        </w:rPr>
        <w:drawing>
          <wp:inline distT="0" distB="0" distL="0" distR="0" wp14:anchorId="1FB18FEE" wp14:editId="79EB6E01">
            <wp:extent cx="438150" cy="952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7"/>
                    <a:stretch>
                      <a:fillRect/>
                    </a:stretch>
                  </pic:blipFill>
                  <pic:spPr>
                    <a:xfrm>
                      <a:off x="0" y="0"/>
                      <a:ext cx="438150" cy="9525"/>
                    </a:xfrm>
                    <a:prstGeom prst="rect">
                      <a:avLst/>
                    </a:prstGeom>
                  </pic:spPr>
                </pic:pic>
              </a:graphicData>
            </a:graphic>
          </wp:inline>
        </w:drawing>
      </w:r>
      <w:r>
        <w:t>Diğer taraftan 06.02.2025 tarihinde ilgi (a) Yönetmelikte yapılan değişiklik ile TMGD hizmeti alma zorunluluğu bulunmayan işletmelere de 31.12.2025 tarihine kadar doküman oluşturma zorunluluğu getirilmiştir. Ayrıca söz konusu Yönetmelik değişikliği</w:t>
      </w:r>
      <w:r>
        <w:t>nde yine dokümanlar ile ilgili maddeler revize edilmiş ve yürürlüğe koyulmuştur.</w:t>
      </w:r>
    </w:p>
    <w:p w14:paraId="344FBFDA" w14:textId="77777777" w:rsidR="00AB2FF5" w:rsidRDefault="00BF751C">
      <w:pPr>
        <w:ind w:left="1030"/>
      </w:pPr>
      <w:r>
        <w:rPr>
          <w:noProof/>
        </w:rPr>
        <w:drawing>
          <wp:inline distT="0" distB="0" distL="0" distR="0" wp14:anchorId="57E826AE" wp14:editId="0020C70B">
            <wp:extent cx="438150" cy="9525"/>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7"/>
                    <a:stretch>
                      <a:fillRect/>
                    </a:stretch>
                  </pic:blipFill>
                  <pic:spPr>
                    <a:xfrm>
                      <a:off x="0" y="0"/>
                      <a:ext cx="438150" cy="9525"/>
                    </a:xfrm>
                    <a:prstGeom prst="rect">
                      <a:avLst/>
                    </a:prstGeom>
                  </pic:spPr>
                </pic:pic>
              </a:graphicData>
            </a:graphic>
          </wp:inline>
        </w:drawing>
      </w:r>
      <w:r>
        <w:t>Yapılan bu düzenlemeler kapsamında süreç içerisinde sektör temsilcileri tarafından Bakanlığımıza yapılan başvurularda, ilgi (b) Genelgede yer alan bazı doküman türlerinin bir</w:t>
      </w:r>
      <w:r>
        <w:t>leştirilmesi, güncelliğinin sağlanması, saklanması ve kullanımına ilişkin bazı talepler iletilmiştir.</w:t>
      </w:r>
    </w:p>
    <w:p w14:paraId="727FDF91" w14:textId="77777777" w:rsidR="00AB2FF5" w:rsidRDefault="00BF751C">
      <w:pPr>
        <w:ind w:left="1030"/>
      </w:pPr>
      <w:r>
        <w:rPr>
          <w:noProof/>
        </w:rPr>
        <w:drawing>
          <wp:inline distT="0" distB="0" distL="0" distR="0" wp14:anchorId="04809EB5" wp14:editId="55553196">
            <wp:extent cx="438150" cy="9525"/>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438150" cy="9525"/>
                    </a:xfrm>
                    <a:prstGeom prst="rect">
                      <a:avLst/>
                    </a:prstGeom>
                  </pic:spPr>
                </pic:pic>
              </a:graphicData>
            </a:graphic>
          </wp:inline>
        </w:drawing>
      </w:r>
      <w:r>
        <w:t>Bakanlığımıza iletilen talepler ve bu talepler çerçevesinde sektör temsilcileri ile yapılan toplantılar sonucunda, Bakanlığımızın görev, yetki ve sorumlu</w:t>
      </w:r>
      <w:r>
        <w:t>lukları çerçevesinde; uluslararası ve ulusal üst mevzuat göz önünde tutulmak suretiyle, ilgi (b) Genelge kapsamında oluşturulacak bazı dokümanların birleştirilmesi, aşağıda yer alan açıklamalara göre yapılması uygun görülmüştür.</w:t>
      </w:r>
    </w:p>
    <w:p w14:paraId="2EB0B88F" w14:textId="77777777" w:rsidR="00AB2FF5" w:rsidRDefault="00BF751C">
      <w:pPr>
        <w:ind w:left="1030"/>
      </w:pPr>
      <w:r>
        <w:rPr>
          <w:noProof/>
        </w:rPr>
        <w:drawing>
          <wp:inline distT="0" distB="0" distL="0" distR="0" wp14:anchorId="405C39AB" wp14:editId="2D1D3794">
            <wp:extent cx="438150" cy="952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438150" cy="9525"/>
                    </a:xfrm>
                    <a:prstGeom prst="rect">
                      <a:avLst/>
                    </a:prstGeom>
                  </pic:spPr>
                </pic:pic>
              </a:graphicData>
            </a:graphic>
          </wp:inline>
        </w:drawing>
      </w:r>
      <w:r>
        <w:t>1. Tehlikeli madde taşımac</w:t>
      </w:r>
      <w:r>
        <w:t xml:space="preserve">ılığında yer alan bir faaliyeti veya süreci yerine getirmek için belirlenmiş yol olarak nitelendirilebilen ve bu sürecin unsurlarını açıklayan prosedürler işletmenin iştigal ettiği faaliyet konularına göre </w:t>
      </w:r>
      <w:r>
        <w:rPr>
          <w:b/>
        </w:rPr>
        <w:t>bölümlere ayrılmak suretiyle birleştirilebilecekti</w:t>
      </w:r>
      <w:r>
        <w:rPr>
          <w:b/>
        </w:rPr>
        <w:t>r.</w:t>
      </w:r>
    </w:p>
    <w:p w14:paraId="4CA51B98" w14:textId="77777777" w:rsidR="00AB2FF5" w:rsidRDefault="00BF751C">
      <w:pPr>
        <w:ind w:left="1030"/>
      </w:pPr>
      <w:r>
        <w:rPr>
          <w:noProof/>
        </w:rPr>
        <w:drawing>
          <wp:inline distT="0" distB="0" distL="0" distR="0" wp14:anchorId="54E9F62A" wp14:editId="2E959B73">
            <wp:extent cx="438150" cy="9525"/>
            <wp:effectExtent l="0" t="0" r="0" b="0"/>
            <wp:docPr id="63" name="Picture 63"/>
            <wp:cNvGraphicFramePr/>
            <a:graphic xmlns:a="http://schemas.openxmlformats.org/drawingml/2006/main">
              <a:graphicData uri="http://schemas.openxmlformats.org/drawingml/2006/picture">
                <pic:pic xmlns:pic="http://schemas.openxmlformats.org/drawingml/2006/picture">
                  <pic:nvPicPr>
                    <pic:cNvPr id="63" name="Picture 63"/>
                    <pic:cNvPicPr/>
                  </pic:nvPicPr>
                  <pic:blipFill>
                    <a:blip r:embed="rId7"/>
                    <a:stretch>
                      <a:fillRect/>
                    </a:stretch>
                  </pic:blipFill>
                  <pic:spPr>
                    <a:xfrm>
                      <a:off x="0" y="0"/>
                      <a:ext cx="438150" cy="9525"/>
                    </a:xfrm>
                    <a:prstGeom prst="rect">
                      <a:avLst/>
                    </a:prstGeom>
                  </pic:spPr>
                </pic:pic>
              </a:graphicData>
            </a:graphic>
          </wp:inline>
        </w:drawing>
      </w:r>
      <w:r>
        <w:t xml:space="preserve">2. Tehlikeli madde taşımacılığında yer alan bir faaliyet veya sürecin yerine getirilmesi esnasında gereken kontrollere ilişkin aşamalı ve ayrıntılı bir niteliğe sahip olan </w:t>
      </w:r>
      <w:r>
        <w:rPr>
          <w:b/>
        </w:rPr>
        <w:t>talimatlar birleştirilmeyecek ve her talimat ayrı ayrı oluşturulacaktır.</w:t>
      </w:r>
    </w:p>
    <w:p w14:paraId="75CA72DA" w14:textId="071CD514" w:rsidR="00AB2FF5" w:rsidRDefault="00BF751C" w:rsidP="00BF751C">
      <w:pPr>
        <w:spacing w:after="715" w:line="286" w:lineRule="auto"/>
        <w:ind w:left="1015" w:right="-11"/>
      </w:pPr>
      <w:r>
        <w:rPr>
          <w:noProof/>
        </w:rPr>
        <w:drawing>
          <wp:inline distT="0" distB="0" distL="0" distR="0" wp14:anchorId="3C795DB9" wp14:editId="170D5EF9">
            <wp:extent cx="438150" cy="9525"/>
            <wp:effectExtent l="0" t="0" r="0" b="0"/>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7"/>
                    <a:stretch>
                      <a:fillRect/>
                    </a:stretch>
                  </pic:blipFill>
                  <pic:spPr>
                    <a:xfrm>
                      <a:off x="0" y="0"/>
                      <a:ext cx="438150" cy="9525"/>
                    </a:xfrm>
                    <a:prstGeom prst="rect">
                      <a:avLst/>
                    </a:prstGeom>
                  </pic:spPr>
                </pic:pic>
              </a:graphicData>
            </a:graphic>
          </wp:inline>
        </w:drawing>
      </w:r>
      <w:r>
        <w:t>3. Teh</w:t>
      </w:r>
      <w:r>
        <w:t xml:space="preserve">likeli madde taşımacılığı faaliyetleri esnasında taraflarca edinilen verilerin tasnifi için </w:t>
      </w:r>
      <w:r>
        <w:rPr>
          <w:b/>
        </w:rPr>
        <w:t>farklı faaliyet konularında yer alan benzer hususlar için oluşturulacak listeler, tek bir liste altında birleştirilebilecektir.</w:t>
      </w:r>
      <w:r>
        <w:rPr>
          <w:rFonts w:ascii="Calibri" w:eastAsia="Calibri" w:hAnsi="Calibri" w:cs="Calibri"/>
          <w:sz w:val="22"/>
        </w:rPr>
        <w:tab/>
      </w:r>
      <w:r>
        <w:rPr>
          <w:sz w:val="14"/>
        </w:rPr>
        <w:tab/>
      </w:r>
    </w:p>
    <w:p w14:paraId="72A5080F" w14:textId="2F03C2E4" w:rsidR="00AB2FF5" w:rsidRDefault="00BF751C">
      <w:pPr>
        <w:spacing w:after="1" w:line="286" w:lineRule="auto"/>
        <w:ind w:left="1015" w:right="-11"/>
      </w:pPr>
      <w:r>
        <w:t xml:space="preserve">4. Takip formları bakımından, </w:t>
      </w:r>
      <w:r>
        <w:rPr>
          <w:b/>
        </w:rPr>
        <w:t>farklı faaliyet konularında yer alan benzer konulara ilişkin takip formları birleştirilebilecektir.</w:t>
      </w:r>
    </w:p>
    <w:p w14:paraId="403312D2" w14:textId="77777777" w:rsidR="00AB2FF5" w:rsidRDefault="00BF751C">
      <w:pPr>
        <w:ind w:left="1030"/>
      </w:pPr>
      <w:r>
        <w:rPr>
          <w:noProof/>
        </w:rPr>
        <w:lastRenderedPageBreak/>
        <w:drawing>
          <wp:inline distT="0" distB="0" distL="0" distR="0" wp14:anchorId="7D44C2D2" wp14:editId="51F2F87C">
            <wp:extent cx="438150" cy="9525"/>
            <wp:effectExtent l="0" t="0" r="0" b="0"/>
            <wp:docPr id="130" name="Picture 130"/>
            <wp:cNvGraphicFramePr/>
            <a:graphic xmlns:a="http://schemas.openxmlformats.org/drawingml/2006/main">
              <a:graphicData uri="http://schemas.openxmlformats.org/drawingml/2006/picture">
                <pic:pic xmlns:pic="http://schemas.openxmlformats.org/drawingml/2006/picture">
                  <pic:nvPicPr>
                    <pic:cNvPr id="130" name="Picture 130"/>
                    <pic:cNvPicPr/>
                  </pic:nvPicPr>
                  <pic:blipFill>
                    <a:blip r:embed="rId7"/>
                    <a:stretch>
                      <a:fillRect/>
                    </a:stretch>
                  </pic:blipFill>
                  <pic:spPr>
                    <a:xfrm>
                      <a:off x="0" y="0"/>
                      <a:ext cx="438150" cy="9525"/>
                    </a:xfrm>
                    <a:prstGeom prst="rect">
                      <a:avLst/>
                    </a:prstGeom>
                  </pic:spPr>
                </pic:pic>
              </a:graphicData>
            </a:graphic>
          </wp:inline>
        </w:drawing>
      </w:r>
      <w:r>
        <w:t>5. Tekrarlanan işlerde kullanılmak üzere işletme gerek</w:t>
      </w:r>
      <w:r>
        <w:t xml:space="preserve">leri çerçevesinde hazırlanan, standartlaştırılmış bir içeriğe sahip olan kontrol formları aşağıda yer alan kriterlere göre birleştirilebilecektir: (Ek-1 ve Ek-2) </w:t>
      </w:r>
    </w:p>
    <w:p w14:paraId="0265E75F" w14:textId="77777777" w:rsidR="00AB2FF5" w:rsidRDefault="00BF751C">
      <w:pPr>
        <w:numPr>
          <w:ilvl w:val="0"/>
          <w:numId w:val="1"/>
        </w:numPr>
        <w:ind w:hanging="260"/>
      </w:pPr>
      <w:r>
        <w:t>Tehlikeli madde alımı yapan işletmelerde, tüm taşıma şekillerinde (paket, tank ve dökme taşım</w:t>
      </w:r>
      <w:r>
        <w:t>a); "A</w:t>
      </w:r>
      <w:r>
        <w:rPr>
          <w:b/>
        </w:rPr>
        <w:t>lıcı</w:t>
      </w:r>
      <w:r>
        <w:t xml:space="preserve"> ve </w:t>
      </w:r>
      <w:r>
        <w:rPr>
          <w:b/>
        </w:rPr>
        <w:t>Boşaltan"</w:t>
      </w:r>
      <w:r>
        <w:t xml:space="preserve"> faaliyet konularına ilişkin kontrol formları aynı form altında bölümlendirilerek </w:t>
      </w:r>
      <w:r>
        <w:rPr>
          <w:b/>
          <w:u w:val="single" w:color="000000"/>
        </w:rPr>
        <w:t>birleştirilebilecektir</w:t>
      </w:r>
      <w:r>
        <w:rPr>
          <w:u w:val="single" w:color="000000"/>
        </w:rPr>
        <w:t>.</w:t>
      </w:r>
    </w:p>
    <w:p w14:paraId="1A69DC44" w14:textId="77777777" w:rsidR="00AB2FF5" w:rsidRDefault="00BF751C">
      <w:pPr>
        <w:numPr>
          <w:ilvl w:val="0"/>
          <w:numId w:val="1"/>
        </w:numPr>
        <w:ind w:hanging="260"/>
      </w:pPr>
      <w:r>
        <w:t>Tanklı ve/veya dökme taşıma ile tehlikeli madde gönderen işletmelerde; "</w:t>
      </w:r>
      <w:r>
        <w:rPr>
          <w:b/>
        </w:rPr>
        <w:t>Dolduran</w:t>
      </w:r>
      <w:r>
        <w:t xml:space="preserve">, </w:t>
      </w:r>
      <w:r>
        <w:rPr>
          <w:b/>
        </w:rPr>
        <w:t>Gönderen</w:t>
      </w:r>
      <w:r>
        <w:t xml:space="preserve"> ve/veya (dökme taşıma için </w:t>
      </w:r>
      <w:r>
        <w:rPr>
          <w:b/>
        </w:rPr>
        <w:t>Yükleyen)</w:t>
      </w:r>
      <w:r>
        <w:rPr>
          <w:b/>
        </w:rPr>
        <w:t xml:space="preserve">" </w:t>
      </w:r>
      <w:r>
        <w:t xml:space="preserve">faaliyet konularına ilişkin kontrol formları aynı form altında bölümlendirilerek </w:t>
      </w:r>
      <w:r>
        <w:rPr>
          <w:b/>
          <w:u w:val="single" w:color="000000"/>
        </w:rPr>
        <w:t>birleştirilebilecektir.</w:t>
      </w:r>
    </w:p>
    <w:p w14:paraId="6A33CB62" w14:textId="77777777" w:rsidR="00AB2FF5" w:rsidRDefault="00BF751C">
      <w:pPr>
        <w:numPr>
          <w:ilvl w:val="0"/>
          <w:numId w:val="1"/>
        </w:numPr>
        <w:spacing w:after="0" w:line="287" w:lineRule="auto"/>
        <w:ind w:hanging="260"/>
      </w:pPr>
      <w:r>
        <w:t>Tehlikeli maddeleri paketleyen ve gönderen işletmelerde; "</w:t>
      </w:r>
      <w:r>
        <w:rPr>
          <w:b/>
        </w:rPr>
        <w:t>Paketleyen</w:t>
      </w:r>
      <w:r>
        <w:t xml:space="preserve">, </w:t>
      </w:r>
      <w:r>
        <w:rPr>
          <w:b/>
        </w:rPr>
        <w:t>Gönderen</w:t>
      </w:r>
      <w:r>
        <w:t xml:space="preserve"> ve/veya </w:t>
      </w:r>
      <w:r>
        <w:rPr>
          <w:b/>
        </w:rPr>
        <w:t xml:space="preserve">Yükleyen" </w:t>
      </w:r>
      <w:r>
        <w:t>faaliyet konularına ilişkin kontrol formları aynı fo</w:t>
      </w:r>
      <w:r>
        <w:t xml:space="preserve">rm altında bölümlendirilerek </w:t>
      </w:r>
      <w:r>
        <w:rPr>
          <w:b/>
          <w:u w:val="single" w:color="000000"/>
        </w:rPr>
        <w:t>birleştirilebilecektir.</w:t>
      </w:r>
    </w:p>
    <w:p w14:paraId="600E65A9" w14:textId="77777777" w:rsidR="00AB2FF5" w:rsidRDefault="00BF751C">
      <w:pPr>
        <w:ind w:left="1980" w:hanging="247"/>
      </w:pPr>
      <w:r>
        <w:t xml:space="preserve">ç) İlgi (a) Yönetmeliğin 7 </w:t>
      </w:r>
      <w:proofErr w:type="spellStart"/>
      <w:r>
        <w:t>nci</w:t>
      </w:r>
      <w:proofErr w:type="spellEnd"/>
      <w:r>
        <w:t xml:space="preserve"> maddesinin onuncu fıkrası kapsamında bir noktadan gönderen faaliyetinde bulunan işletmeler için, </w:t>
      </w:r>
      <w:r>
        <w:rPr>
          <w:b/>
        </w:rPr>
        <w:t xml:space="preserve">"Gönderen" </w:t>
      </w:r>
      <w:r>
        <w:t>faaliyet konusuna ilişkin kontrol formu ayrı olarak hazırlanacak</w:t>
      </w:r>
      <w:r>
        <w:t>tır.</w:t>
      </w:r>
    </w:p>
    <w:p w14:paraId="235EF64A" w14:textId="77777777" w:rsidR="00AB2FF5" w:rsidRDefault="00BF751C">
      <w:pPr>
        <w:numPr>
          <w:ilvl w:val="0"/>
          <w:numId w:val="1"/>
        </w:numPr>
        <w:ind w:hanging="260"/>
      </w:pPr>
      <w:r>
        <w:t xml:space="preserve">Ayrıca yukarıda sayılan sınıflandırmalara ek olarak, işletmede aynı zamanda </w:t>
      </w:r>
      <w:r>
        <w:rPr>
          <w:b/>
        </w:rPr>
        <w:t xml:space="preserve">"Taşımacı </w:t>
      </w:r>
      <w:r>
        <w:t xml:space="preserve">ve/veya </w:t>
      </w:r>
      <w:r>
        <w:rPr>
          <w:b/>
        </w:rPr>
        <w:t>Tank konteyner/portatif tank işletmecisi"</w:t>
      </w:r>
      <w:r>
        <w:t xml:space="preserve"> faaliyetleri de yürütülüyorsa, söz konusu bu faaliyet konularına ilişkin kontrol formları ilgili kontrol formuna </w:t>
      </w:r>
      <w:r>
        <w:rPr>
          <w:u w:val="single" w:color="000000"/>
        </w:rPr>
        <w:t>ek</w:t>
      </w:r>
      <w:r>
        <w:rPr>
          <w:u w:val="single" w:color="000000"/>
        </w:rPr>
        <w:t>lenebilecektir.</w:t>
      </w:r>
    </w:p>
    <w:p w14:paraId="0D1B2BF5" w14:textId="77777777" w:rsidR="00AB2FF5" w:rsidRDefault="00BF751C">
      <w:pPr>
        <w:ind w:left="1030"/>
      </w:pPr>
      <w:r>
        <w:rPr>
          <w:noProof/>
        </w:rPr>
        <w:drawing>
          <wp:inline distT="0" distB="0" distL="0" distR="0" wp14:anchorId="7133932C" wp14:editId="62A1EEED">
            <wp:extent cx="438150" cy="9525"/>
            <wp:effectExtent l="0" t="0" r="0" b="0"/>
            <wp:docPr id="177" name="Picture 177"/>
            <wp:cNvGraphicFramePr/>
            <a:graphic xmlns:a="http://schemas.openxmlformats.org/drawingml/2006/main">
              <a:graphicData uri="http://schemas.openxmlformats.org/drawingml/2006/picture">
                <pic:pic xmlns:pic="http://schemas.openxmlformats.org/drawingml/2006/picture">
                  <pic:nvPicPr>
                    <pic:cNvPr id="177" name="Picture 177"/>
                    <pic:cNvPicPr/>
                  </pic:nvPicPr>
                  <pic:blipFill>
                    <a:blip r:embed="rId7"/>
                    <a:stretch>
                      <a:fillRect/>
                    </a:stretch>
                  </pic:blipFill>
                  <pic:spPr>
                    <a:xfrm>
                      <a:off x="0" y="0"/>
                      <a:ext cx="438150" cy="9525"/>
                    </a:xfrm>
                    <a:prstGeom prst="rect">
                      <a:avLst/>
                    </a:prstGeom>
                  </pic:spPr>
                </pic:pic>
              </a:graphicData>
            </a:graphic>
          </wp:inline>
        </w:drawing>
      </w:r>
      <w:r>
        <w:t>İlgi (b) Genelge hükümleri kapsamında bu zamana kadar oluşturulmuş ve kullanıma alınmış dokümanların yukarıda yer alan açıklamalar kapsamında birleştirilmesi dokümanları oluşturacak tarafların verecekleri karar olmakla birlikte, her bir dokümanın ayrı ayrı</w:t>
      </w:r>
      <w:r>
        <w:t xml:space="preserve"> olarak hazırlanmasında ve kullanılmasında da bir sakınca bulunmamaktadır.</w:t>
      </w:r>
    </w:p>
    <w:p w14:paraId="66721CE2" w14:textId="77777777" w:rsidR="00AB2FF5" w:rsidRDefault="00BF751C">
      <w:pPr>
        <w:spacing w:after="33"/>
        <w:ind w:left="1030"/>
      </w:pPr>
      <w:r>
        <w:rPr>
          <w:noProof/>
        </w:rPr>
        <w:drawing>
          <wp:inline distT="0" distB="0" distL="0" distR="0" wp14:anchorId="7957E252" wp14:editId="3B925708">
            <wp:extent cx="438150" cy="9525"/>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7"/>
                    <a:stretch>
                      <a:fillRect/>
                    </a:stretch>
                  </pic:blipFill>
                  <pic:spPr>
                    <a:xfrm>
                      <a:off x="0" y="0"/>
                      <a:ext cx="438150" cy="9525"/>
                    </a:xfrm>
                    <a:prstGeom prst="rect">
                      <a:avLst/>
                    </a:prstGeom>
                  </pic:spPr>
                </pic:pic>
              </a:graphicData>
            </a:graphic>
          </wp:inline>
        </w:drawing>
      </w:r>
      <w:r>
        <w:t>Tüm bu hususlarda gereken hatırlatmaların Türkiye Odalar ve Borsalar Birliği mensubu tehlikeli madde taşımacılığı ile iştigal eden işletmelere ve ayrıca ilgili sivil toplum kuruluş</w:t>
      </w:r>
      <w:r>
        <w:t>larına yapılması hususlarında, bilgilerinizi ve gereğini önemle rica ederim.</w:t>
      </w:r>
    </w:p>
    <w:p w14:paraId="42CB03DC" w14:textId="77777777" w:rsidR="00AB2FF5" w:rsidRDefault="00BF751C">
      <w:pPr>
        <w:spacing w:after="29" w:line="286" w:lineRule="auto"/>
        <w:ind w:left="0" w:right="9165" w:firstLine="1020"/>
        <w:jc w:val="left"/>
      </w:pPr>
      <w:r>
        <w:t xml:space="preserve"> </w:t>
      </w:r>
      <w:r>
        <w:rPr>
          <w:rFonts w:ascii="Calibri" w:eastAsia="Calibri" w:hAnsi="Calibri" w:cs="Calibri"/>
          <w:noProof/>
          <w:sz w:val="22"/>
        </w:rPr>
        <mc:AlternateContent>
          <mc:Choice Requires="wpg">
            <w:drawing>
              <wp:inline distT="0" distB="0" distL="0" distR="0" wp14:anchorId="78218F77" wp14:editId="3A89C5F6">
                <wp:extent cx="438150" cy="19050"/>
                <wp:effectExtent l="0" t="0" r="0" b="0"/>
                <wp:docPr id="2350" name="Group 2350"/>
                <wp:cNvGraphicFramePr/>
                <a:graphic xmlns:a="http://schemas.openxmlformats.org/drawingml/2006/main">
                  <a:graphicData uri="http://schemas.microsoft.com/office/word/2010/wordprocessingGroup">
                    <wpg:wgp>
                      <wpg:cNvGrpSpPr/>
                      <wpg:grpSpPr>
                        <a:xfrm>
                          <a:off x="0" y="0"/>
                          <a:ext cx="438150" cy="19050"/>
                          <a:chOff x="0" y="0"/>
                          <a:chExt cx="438150" cy="19050"/>
                        </a:xfrm>
                      </wpg:grpSpPr>
                      <pic:pic xmlns:pic="http://schemas.openxmlformats.org/drawingml/2006/picture">
                        <pic:nvPicPr>
                          <pic:cNvPr id="188" name="Picture 188"/>
                          <pic:cNvPicPr/>
                        </pic:nvPicPr>
                        <pic:blipFill>
                          <a:blip r:embed="rId7"/>
                          <a:stretch>
                            <a:fillRect/>
                          </a:stretch>
                        </pic:blipFill>
                        <pic:spPr>
                          <a:xfrm>
                            <a:off x="0" y="0"/>
                            <a:ext cx="438150" cy="9525"/>
                          </a:xfrm>
                          <a:prstGeom prst="rect">
                            <a:avLst/>
                          </a:prstGeom>
                        </pic:spPr>
                      </pic:pic>
                      <pic:pic xmlns:pic="http://schemas.openxmlformats.org/drawingml/2006/picture">
                        <pic:nvPicPr>
                          <pic:cNvPr id="190" name="Picture 190"/>
                          <pic:cNvPicPr/>
                        </pic:nvPicPr>
                        <pic:blipFill>
                          <a:blip r:embed="rId7"/>
                          <a:stretch>
                            <a:fillRect/>
                          </a:stretch>
                        </pic:blipFill>
                        <pic:spPr>
                          <a:xfrm>
                            <a:off x="0" y="9525"/>
                            <a:ext cx="438150" cy="9525"/>
                          </a:xfrm>
                          <a:prstGeom prst="rect">
                            <a:avLst/>
                          </a:prstGeom>
                        </pic:spPr>
                      </pic:pic>
                    </wpg:wgp>
                  </a:graphicData>
                </a:graphic>
              </wp:inline>
            </w:drawing>
          </mc:Choice>
          <mc:Fallback xmlns:a="http://schemas.openxmlformats.org/drawingml/2006/main">
            <w:pict>
              <v:group id="Group 2350" style="width:34.5pt;height:1.5pt;mso-position-horizontal-relative:char;mso-position-vertical-relative:line" coordsize="4381,190">
                <v:shape id="Picture 188" style="position:absolute;width:4381;height:95;left:0;top:0;" filled="f">
                  <v:imagedata r:id="rId8"/>
                </v:shape>
                <v:shape id="Picture 190" style="position:absolute;width:4381;height:95;left:0;top:95;" filled="f">
                  <v:imagedata r:id="rId8"/>
                </v:shape>
              </v:group>
            </w:pict>
          </mc:Fallback>
        </mc:AlternateContent>
      </w:r>
      <w:r>
        <w:t xml:space="preserve"> </w:t>
      </w:r>
    </w:p>
    <w:p w14:paraId="015FEF22" w14:textId="77777777" w:rsidR="00AB2FF5" w:rsidRDefault="00BF751C">
      <w:pPr>
        <w:spacing w:after="15" w:line="259" w:lineRule="auto"/>
        <w:ind w:left="10"/>
        <w:jc w:val="right"/>
      </w:pPr>
      <w:r>
        <w:t>Murat BAŞTOR</w:t>
      </w:r>
    </w:p>
    <w:p w14:paraId="5865A785" w14:textId="77777777" w:rsidR="00AB2FF5" w:rsidRDefault="00BF751C">
      <w:pPr>
        <w:spacing w:after="15" w:line="259" w:lineRule="auto"/>
        <w:ind w:left="10" w:right="392"/>
        <w:jc w:val="right"/>
      </w:pPr>
      <w:r>
        <w:t>Bakan a.</w:t>
      </w:r>
    </w:p>
    <w:p w14:paraId="4ED86DB0" w14:textId="77777777" w:rsidR="00AB2FF5" w:rsidRDefault="00BF751C">
      <w:pPr>
        <w:spacing w:after="15" w:line="259" w:lineRule="auto"/>
        <w:ind w:left="10" w:right="169"/>
        <w:jc w:val="right"/>
      </w:pPr>
      <w:r>
        <w:t>Genel Müdür</w:t>
      </w:r>
    </w:p>
    <w:p w14:paraId="5FF4CC1B" w14:textId="77777777" w:rsidR="00AB2FF5" w:rsidRDefault="00BF751C">
      <w:pPr>
        <w:spacing w:after="75" w:line="259" w:lineRule="auto"/>
        <w:ind w:left="0" w:firstLine="0"/>
        <w:jc w:val="left"/>
      </w:pPr>
      <w:r>
        <w:t xml:space="preserve"> </w:t>
      </w:r>
    </w:p>
    <w:p w14:paraId="4D471979" w14:textId="77777777" w:rsidR="00AB2FF5" w:rsidRDefault="00BF751C">
      <w:pPr>
        <w:spacing w:after="35"/>
        <w:ind w:left="1030"/>
      </w:pPr>
      <w:r>
        <w:t>Ek:</w:t>
      </w:r>
    </w:p>
    <w:p w14:paraId="3BA925DA" w14:textId="77777777" w:rsidR="00AB2FF5" w:rsidRDefault="00BF751C">
      <w:pPr>
        <w:numPr>
          <w:ilvl w:val="0"/>
          <w:numId w:val="2"/>
        </w:numPr>
        <w:spacing w:after="35"/>
        <w:ind w:hanging="180"/>
      </w:pPr>
      <w:r>
        <w:t>- Kontrol Formu Birleştirmenin Şema Gösterimi (1 Sayfa)</w:t>
      </w:r>
    </w:p>
    <w:p w14:paraId="631DEF70" w14:textId="77777777" w:rsidR="00AB2FF5" w:rsidRDefault="00BF751C">
      <w:pPr>
        <w:numPr>
          <w:ilvl w:val="0"/>
          <w:numId w:val="2"/>
        </w:numPr>
        <w:ind w:hanging="180"/>
      </w:pPr>
      <w:r>
        <w:t>- Bölümlendirme Yapılarak Kontrol Formu Birleştirilmesi Örnek (Gönderen-Dolduran) (1 Sayfa)</w:t>
      </w:r>
    </w:p>
    <w:p w14:paraId="0E779453" w14:textId="77777777" w:rsidR="00AB2FF5" w:rsidRDefault="00BF751C">
      <w:pPr>
        <w:spacing w:after="0" w:line="259" w:lineRule="auto"/>
        <w:ind w:left="0" w:firstLine="0"/>
        <w:jc w:val="left"/>
      </w:pPr>
      <w:r>
        <w:t xml:space="preserve"> </w:t>
      </w:r>
    </w:p>
    <w:p w14:paraId="1C81F890" w14:textId="77777777" w:rsidR="00AB2FF5" w:rsidRDefault="00BF751C">
      <w:pPr>
        <w:spacing w:after="65"/>
        <w:ind w:left="1030"/>
      </w:pPr>
      <w:r>
        <w:t>Dağıtım:</w:t>
      </w:r>
    </w:p>
    <w:p w14:paraId="41297FEF" w14:textId="77777777" w:rsidR="00AB2FF5" w:rsidRDefault="00BF751C">
      <w:pPr>
        <w:ind w:left="1030"/>
      </w:pPr>
      <w:r>
        <w:t>Türkiye Odalar ve Borsalar Birliği Başkanlığına</w:t>
      </w:r>
    </w:p>
    <w:p w14:paraId="701DC292" w14:textId="77777777" w:rsidR="00AB2FF5" w:rsidRDefault="00BF751C">
      <w:pPr>
        <w:spacing w:after="688"/>
        <w:ind w:left="1030"/>
      </w:pPr>
      <w:r>
        <w:t>Bakanlık Bölge Müdürlüklerine</w:t>
      </w:r>
    </w:p>
    <w:p w14:paraId="0C6AD5BB" w14:textId="22C6AA2D" w:rsidR="00AB2FF5" w:rsidRDefault="00BF751C" w:rsidP="00BF751C">
      <w:pPr>
        <w:tabs>
          <w:tab w:val="center" w:pos="3490"/>
          <w:tab w:val="right" w:pos="10875"/>
        </w:tabs>
        <w:spacing w:after="43" w:line="259" w:lineRule="auto"/>
        <w:ind w:left="0" w:firstLine="0"/>
        <w:jc w:val="left"/>
      </w:pPr>
      <w:r>
        <w:rPr>
          <w:rFonts w:ascii="Calibri" w:eastAsia="Calibri" w:hAnsi="Calibri" w:cs="Calibri"/>
          <w:sz w:val="22"/>
        </w:rPr>
        <w:tab/>
      </w:r>
    </w:p>
    <w:sectPr w:rsidR="00AB2FF5">
      <w:pgSz w:w="11906" w:h="16838"/>
      <w:pgMar w:top="238" w:right="1031" w:bottom="0" w:left="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6E6725"/>
    <w:multiLevelType w:val="hybridMultilevel"/>
    <w:tmpl w:val="742A057C"/>
    <w:lvl w:ilvl="0" w:tplc="A65C8FA0">
      <w:start w:val="1"/>
      <w:numFmt w:val="lowerLetter"/>
      <w:lvlText w:val="%1)"/>
      <w:lvlJc w:val="left"/>
      <w:pPr>
        <w:ind w:left="19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4A3202">
      <w:start w:val="1"/>
      <w:numFmt w:val="lowerLetter"/>
      <w:lvlText w:val="%2"/>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362034">
      <w:start w:val="1"/>
      <w:numFmt w:val="lowerRoman"/>
      <w:lvlText w:val="%3"/>
      <w:lvlJc w:val="left"/>
      <w:pPr>
        <w:ind w:left="3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3CBC46">
      <w:start w:val="1"/>
      <w:numFmt w:val="decimal"/>
      <w:lvlText w:val="%4"/>
      <w:lvlJc w:val="left"/>
      <w:pPr>
        <w:ind w:left="4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A63EB6">
      <w:start w:val="1"/>
      <w:numFmt w:val="lowerLetter"/>
      <w:lvlText w:val="%5"/>
      <w:lvlJc w:val="left"/>
      <w:pPr>
        <w:ind w:left="4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78D1BC">
      <w:start w:val="1"/>
      <w:numFmt w:val="lowerRoman"/>
      <w:lvlText w:val="%6"/>
      <w:lvlJc w:val="left"/>
      <w:pPr>
        <w:ind w:left="5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EA3156">
      <w:start w:val="1"/>
      <w:numFmt w:val="decimal"/>
      <w:lvlText w:val="%7"/>
      <w:lvlJc w:val="left"/>
      <w:pPr>
        <w:ind w:left="6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D14F9BE">
      <w:start w:val="1"/>
      <w:numFmt w:val="lowerLetter"/>
      <w:lvlText w:val="%8"/>
      <w:lvlJc w:val="left"/>
      <w:pPr>
        <w:ind w:left="7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A04C566">
      <w:start w:val="1"/>
      <w:numFmt w:val="lowerRoman"/>
      <w:lvlText w:val="%9"/>
      <w:lvlJc w:val="left"/>
      <w:pPr>
        <w:ind w:left="7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4FE272E"/>
    <w:multiLevelType w:val="hybridMultilevel"/>
    <w:tmpl w:val="9C2016EA"/>
    <w:lvl w:ilvl="0" w:tplc="95CE6F36">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894E4">
      <w:start w:val="1"/>
      <w:numFmt w:val="lowerLetter"/>
      <w:lvlText w:val="%2"/>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0ADAE0">
      <w:start w:val="1"/>
      <w:numFmt w:val="lowerRoman"/>
      <w:lvlText w:val="%3"/>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1486F4">
      <w:start w:val="1"/>
      <w:numFmt w:val="decimal"/>
      <w:lvlText w:val="%4"/>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AEA540">
      <w:start w:val="1"/>
      <w:numFmt w:val="lowerLetter"/>
      <w:lvlText w:val="%5"/>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C49B14">
      <w:start w:val="1"/>
      <w:numFmt w:val="lowerRoman"/>
      <w:lvlText w:val="%6"/>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EFB18">
      <w:start w:val="1"/>
      <w:numFmt w:val="decimal"/>
      <w:lvlText w:val="%7"/>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143090">
      <w:start w:val="1"/>
      <w:numFmt w:val="lowerLetter"/>
      <w:lvlText w:val="%8"/>
      <w:lvlJc w:val="left"/>
      <w:pPr>
        <w:ind w:left="6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80E104">
      <w:start w:val="1"/>
      <w:numFmt w:val="lowerRoman"/>
      <w:lvlText w:val="%9"/>
      <w:lvlJc w:val="left"/>
      <w:pPr>
        <w:ind w:left="7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F5"/>
    <w:rsid w:val="00AB2FF5"/>
    <w:rsid w:val="00BF75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8BCE"/>
  <w15:docId w15:val="{3F036F8B-AC63-4BC6-A38D-D32622EC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9" w:lineRule="auto"/>
      <w:ind w:left="1045"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82"/>
      <w:ind w:left="1035"/>
      <w:jc w:val="center"/>
      <w:outlineLvl w:val="0"/>
    </w:pPr>
    <w:rPr>
      <w:rFonts w:ascii="Times New Roman" w:eastAsia="Times New Roman" w:hAnsi="Times New Roman" w:cs="Times New Roman"/>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0.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795</Words>
  <Characters>4537</Characters>
  <Application>Microsoft Office Word</Application>
  <DocSecurity>0</DocSecurity>
  <Lines>37</Lines>
  <Paragraphs>10</Paragraphs>
  <ScaleCrop>false</ScaleCrop>
  <Company/>
  <LinksUpToDate>false</LinksUpToDate>
  <CharactersWithSpaces>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 A T S O</dc:creator>
  <cp:keywords/>
  <cp:lastModifiedBy>Ç A T S O</cp:lastModifiedBy>
  <cp:revision>2</cp:revision>
  <dcterms:created xsi:type="dcterms:W3CDTF">2025-04-14T11:24:00Z</dcterms:created>
  <dcterms:modified xsi:type="dcterms:W3CDTF">2025-04-14T11:24:00Z</dcterms:modified>
</cp:coreProperties>
</file>