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81638" w14:textId="30723668" w:rsidR="00B27346" w:rsidRDefault="00422284">
      <w:pPr>
        <w:spacing w:after="291" w:line="259" w:lineRule="auto"/>
        <w:ind w:left="325" w:firstLine="0"/>
        <w:jc w:val="left"/>
      </w:pPr>
      <w:r>
        <w:rPr>
          <w:noProof/>
        </w:rPr>
        <w:drawing>
          <wp:anchor distT="0" distB="0" distL="114300" distR="114300" simplePos="0" relativeHeight="251658240" behindDoc="0" locked="0" layoutInCell="1" allowOverlap="0" wp14:anchorId="0591FBB5" wp14:editId="4C7209A6">
            <wp:simplePos x="0" y="0"/>
            <wp:positionH relativeFrom="column">
              <wp:posOffset>4912678</wp:posOffset>
            </wp:positionH>
            <wp:positionV relativeFrom="paragraph">
              <wp:posOffset>50088</wp:posOffset>
            </wp:positionV>
            <wp:extent cx="2181225" cy="727075"/>
            <wp:effectExtent l="0" t="0" r="0" b="0"/>
            <wp:wrapSquare wrapText="bothSides"/>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5"/>
                    <a:stretch>
                      <a:fillRect/>
                    </a:stretch>
                  </pic:blipFill>
                  <pic:spPr>
                    <a:xfrm>
                      <a:off x="0" y="0"/>
                      <a:ext cx="2181225" cy="727075"/>
                    </a:xfrm>
                    <a:prstGeom prst="rect">
                      <a:avLst/>
                    </a:prstGeom>
                  </pic:spPr>
                </pic:pic>
              </a:graphicData>
            </a:graphic>
          </wp:anchor>
        </w:drawing>
      </w:r>
    </w:p>
    <w:p w14:paraId="6BB95116" w14:textId="77777777" w:rsidR="00B27346" w:rsidRDefault="00422284">
      <w:pPr>
        <w:spacing w:after="45" w:line="264" w:lineRule="auto"/>
        <w:jc w:val="center"/>
      </w:pPr>
      <w:r>
        <w:t>T.C.</w:t>
      </w:r>
    </w:p>
    <w:p w14:paraId="3F68A4D0" w14:textId="77777777" w:rsidR="00B27346" w:rsidRDefault="00422284">
      <w:pPr>
        <w:spacing w:after="45" w:line="264" w:lineRule="auto"/>
        <w:jc w:val="center"/>
      </w:pPr>
      <w:r>
        <w:t>TİCARET BAKANLIĞI</w:t>
      </w:r>
    </w:p>
    <w:p w14:paraId="2C87A817" w14:textId="77777777" w:rsidR="00B27346" w:rsidRDefault="00422284">
      <w:pPr>
        <w:spacing w:after="423" w:line="264" w:lineRule="auto"/>
        <w:jc w:val="center"/>
      </w:pPr>
      <w:r>
        <w:t>Uluslararası Anlaşmalar ve Avrupa Birliği Genel Müdürlüğü</w:t>
      </w:r>
    </w:p>
    <w:tbl>
      <w:tblPr>
        <w:tblStyle w:val="TableGrid"/>
        <w:tblW w:w="10196" w:type="dxa"/>
        <w:tblInd w:w="655" w:type="dxa"/>
        <w:tblCellMar>
          <w:top w:w="4" w:type="dxa"/>
          <w:left w:w="0" w:type="dxa"/>
          <w:bottom w:w="0" w:type="dxa"/>
          <w:right w:w="0" w:type="dxa"/>
        </w:tblCellMar>
        <w:tblLook w:val="04A0" w:firstRow="1" w:lastRow="0" w:firstColumn="1" w:lastColumn="0" w:noHBand="0" w:noVBand="1"/>
      </w:tblPr>
      <w:tblGrid>
        <w:gridCol w:w="700"/>
        <w:gridCol w:w="9496"/>
      </w:tblGrid>
      <w:tr w:rsidR="00B27346" w14:paraId="6EFE1A6D" w14:textId="77777777">
        <w:trPr>
          <w:trHeight w:val="261"/>
        </w:trPr>
        <w:tc>
          <w:tcPr>
            <w:tcW w:w="700" w:type="dxa"/>
            <w:tcBorders>
              <w:top w:val="nil"/>
              <w:left w:val="nil"/>
              <w:bottom w:val="nil"/>
              <w:right w:val="nil"/>
            </w:tcBorders>
          </w:tcPr>
          <w:p w14:paraId="6B483CBD" w14:textId="4EE587D1" w:rsidR="00B27346" w:rsidRDefault="00B27346">
            <w:pPr>
              <w:spacing w:after="0" w:line="259" w:lineRule="auto"/>
              <w:ind w:left="0" w:firstLine="0"/>
              <w:jc w:val="left"/>
            </w:pPr>
          </w:p>
        </w:tc>
        <w:tc>
          <w:tcPr>
            <w:tcW w:w="9496" w:type="dxa"/>
            <w:tcBorders>
              <w:top w:val="nil"/>
              <w:left w:val="nil"/>
              <w:bottom w:val="nil"/>
              <w:right w:val="nil"/>
            </w:tcBorders>
          </w:tcPr>
          <w:p w14:paraId="4D4F1C50" w14:textId="289DF5A5" w:rsidR="00B27346" w:rsidRDefault="00B27346">
            <w:pPr>
              <w:spacing w:after="0" w:line="259" w:lineRule="auto"/>
              <w:ind w:left="0" w:firstLine="0"/>
              <w:jc w:val="left"/>
            </w:pPr>
          </w:p>
        </w:tc>
      </w:tr>
      <w:tr w:rsidR="00B27346" w14:paraId="161C193A" w14:textId="77777777">
        <w:trPr>
          <w:trHeight w:val="1735"/>
        </w:trPr>
        <w:tc>
          <w:tcPr>
            <w:tcW w:w="700" w:type="dxa"/>
            <w:tcBorders>
              <w:top w:val="nil"/>
              <w:left w:val="nil"/>
              <w:bottom w:val="nil"/>
              <w:right w:val="nil"/>
            </w:tcBorders>
          </w:tcPr>
          <w:p w14:paraId="2548C0FC" w14:textId="77777777" w:rsidR="00B27346" w:rsidRDefault="00422284">
            <w:pPr>
              <w:spacing w:after="0" w:line="259" w:lineRule="auto"/>
              <w:ind w:left="0" w:firstLine="0"/>
              <w:jc w:val="left"/>
            </w:pPr>
            <w:r>
              <w:t>Konu</w:t>
            </w:r>
          </w:p>
        </w:tc>
        <w:tc>
          <w:tcPr>
            <w:tcW w:w="9496" w:type="dxa"/>
            <w:tcBorders>
              <w:top w:val="nil"/>
              <w:left w:val="nil"/>
              <w:bottom w:val="nil"/>
              <w:right w:val="nil"/>
            </w:tcBorders>
          </w:tcPr>
          <w:p w14:paraId="732040E9" w14:textId="77777777" w:rsidR="00B27346" w:rsidRDefault="00422284">
            <w:pPr>
              <w:spacing w:after="15" w:line="259" w:lineRule="auto"/>
              <w:ind w:left="0" w:firstLine="0"/>
              <w:jc w:val="left"/>
            </w:pPr>
            <w:r>
              <w:rPr>
                <w:sz w:val="22"/>
              </w:rPr>
              <w:t xml:space="preserve">: </w:t>
            </w:r>
            <w:r>
              <w:t>İthalat Kontrol Sistemi 2 (ICS2)</w:t>
            </w:r>
          </w:p>
          <w:p w14:paraId="376721C8" w14:textId="77777777" w:rsidR="00B27346" w:rsidRDefault="00422284">
            <w:pPr>
              <w:spacing w:after="726" w:line="259" w:lineRule="auto"/>
              <w:ind w:left="181" w:firstLine="0"/>
              <w:jc w:val="left"/>
            </w:pPr>
            <w:r>
              <w:t xml:space="preserve">Deployment </w:t>
            </w:r>
            <w:proofErr w:type="spellStart"/>
            <w:r>
              <w:t>Window</w:t>
            </w:r>
            <w:proofErr w:type="spellEnd"/>
            <w:r>
              <w:t xml:space="preserve"> Talebi</w:t>
            </w:r>
          </w:p>
          <w:p w14:paraId="0A87C84E" w14:textId="77777777" w:rsidR="00B27346" w:rsidRDefault="00422284">
            <w:pPr>
              <w:spacing w:after="0" w:line="259" w:lineRule="auto"/>
              <w:ind w:left="0" w:right="700" w:firstLine="0"/>
              <w:jc w:val="center"/>
            </w:pPr>
            <w:r>
              <w:t>DAĞITIM YERLERİNE</w:t>
            </w:r>
          </w:p>
        </w:tc>
      </w:tr>
      <w:tr w:rsidR="00B27346" w14:paraId="6E5B8F85" w14:textId="77777777">
        <w:trPr>
          <w:trHeight w:val="3511"/>
        </w:trPr>
        <w:tc>
          <w:tcPr>
            <w:tcW w:w="700" w:type="dxa"/>
            <w:tcBorders>
              <w:top w:val="nil"/>
              <w:left w:val="nil"/>
              <w:bottom w:val="nil"/>
              <w:right w:val="nil"/>
            </w:tcBorders>
          </w:tcPr>
          <w:p w14:paraId="4F008516" w14:textId="77777777" w:rsidR="00B27346" w:rsidRDefault="00422284">
            <w:pPr>
              <w:spacing w:after="0" w:line="259" w:lineRule="auto"/>
              <w:ind w:left="0" w:firstLine="0"/>
              <w:jc w:val="left"/>
            </w:pPr>
            <w:r>
              <w:t>İlgi</w:t>
            </w:r>
          </w:p>
        </w:tc>
        <w:tc>
          <w:tcPr>
            <w:tcW w:w="9496" w:type="dxa"/>
            <w:tcBorders>
              <w:top w:val="nil"/>
              <w:left w:val="nil"/>
              <w:bottom w:val="nil"/>
              <w:right w:val="nil"/>
            </w:tcBorders>
            <w:vAlign w:val="bottom"/>
          </w:tcPr>
          <w:p w14:paraId="61FE6D9D" w14:textId="77777777" w:rsidR="00B27346" w:rsidRDefault="00422284">
            <w:pPr>
              <w:spacing w:after="11" w:line="259" w:lineRule="auto"/>
              <w:ind w:left="20" w:firstLine="0"/>
              <w:jc w:val="left"/>
            </w:pPr>
            <w:r>
              <w:t>: a) 3.11.2023 tarihli ve 90632213 sayılı yazımız.</w:t>
            </w:r>
          </w:p>
          <w:p w14:paraId="78C00AF4" w14:textId="77777777" w:rsidR="00B27346" w:rsidRDefault="00422284">
            <w:pPr>
              <w:numPr>
                <w:ilvl w:val="0"/>
                <w:numId w:val="2"/>
              </w:numPr>
              <w:spacing w:after="11" w:line="259" w:lineRule="auto"/>
              <w:ind w:left="400" w:hanging="260"/>
              <w:jc w:val="left"/>
            </w:pPr>
            <w:r>
              <w:t>16.1.2024 tarihli ve 92808617 sayılı yazımız.</w:t>
            </w:r>
          </w:p>
          <w:p w14:paraId="7A713A8F" w14:textId="77777777" w:rsidR="00B27346" w:rsidRDefault="00422284">
            <w:pPr>
              <w:numPr>
                <w:ilvl w:val="0"/>
                <w:numId w:val="2"/>
              </w:numPr>
              <w:spacing w:after="11" w:line="259" w:lineRule="auto"/>
              <w:ind w:left="400" w:hanging="260"/>
              <w:jc w:val="left"/>
            </w:pPr>
            <w:r>
              <w:t>22.3.2024 ve 95267483 sayılı yazımız.</w:t>
            </w:r>
          </w:p>
          <w:p w14:paraId="64E06CF8" w14:textId="77777777" w:rsidR="00B27346" w:rsidRDefault="00422284">
            <w:pPr>
              <w:spacing w:after="11" w:line="259" w:lineRule="auto"/>
              <w:ind w:left="140" w:firstLine="0"/>
              <w:jc w:val="left"/>
            </w:pPr>
            <w:proofErr w:type="gramStart"/>
            <w:r>
              <w:t>ç</w:t>
            </w:r>
            <w:proofErr w:type="gramEnd"/>
            <w:r>
              <w:t xml:space="preserve">) </w:t>
            </w:r>
            <w:proofErr w:type="spellStart"/>
            <w:r>
              <w:t>YASED'i</w:t>
            </w:r>
            <w:proofErr w:type="spellEnd"/>
            <w:r>
              <w:t xml:space="preserve"> muhatap 29.3.2024 tarihli ve 95515098 sayılı yazımız.</w:t>
            </w:r>
          </w:p>
          <w:p w14:paraId="10C14B06" w14:textId="77777777" w:rsidR="00B27346" w:rsidRDefault="00422284">
            <w:pPr>
              <w:numPr>
                <w:ilvl w:val="0"/>
                <w:numId w:val="2"/>
              </w:numPr>
              <w:spacing w:after="11" w:line="259" w:lineRule="auto"/>
              <w:ind w:left="400" w:hanging="260"/>
              <w:jc w:val="left"/>
            </w:pPr>
            <w:r>
              <w:t xml:space="preserve">15.4.2024 tarihli ve </w:t>
            </w:r>
            <w:r>
              <w:t>95748843 sayılı yazımız.</w:t>
            </w:r>
          </w:p>
          <w:p w14:paraId="6267F25B" w14:textId="77777777" w:rsidR="00B27346" w:rsidRDefault="00422284">
            <w:pPr>
              <w:numPr>
                <w:ilvl w:val="0"/>
                <w:numId w:val="2"/>
              </w:numPr>
              <w:spacing w:after="11" w:line="259" w:lineRule="auto"/>
              <w:ind w:left="400" w:hanging="260"/>
              <w:jc w:val="left"/>
            </w:pPr>
            <w:r>
              <w:t>10.6.2024 tarihli ve 97725255 sayılı yazımız.</w:t>
            </w:r>
          </w:p>
          <w:p w14:paraId="48C96A58" w14:textId="77777777" w:rsidR="00B27346" w:rsidRDefault="00422284">
            <w:pPr>
              <w:numPr>
                <w:ilvl w:val="0"/>
                <w:numId w:val="2"/>
              </w:numPr>
              <w:spacing w:after="11" w:line="259" w:lineRule="auto"/>
              <w:ind w:left="400" w:hanging="260"/>
              <w:jc w:val="left"/>
            </w:pPr>
            <w:r>
              <w:t>14.6.2024 tarihli ve 97957329 sayılı yazımız.</w:t>
            </w:r>
          </w:p>
          <w:p w14:paraId="72019146" w14:textId="77777777" w:rsidR="00B27346" w:rsidRDefault="00422284">
            <w:pPr>
              <w:numPr>
                <w:ilvl w:val="0"/>
                <w:numId w:val="2"/>
              </w:numPr>
              <w:spacing w:after="11" w:line="259" w:lineRule="auto"/>
              <w:ind w:left="400" w:hanging="260"/>
              <w:jc w:val="left"/>
            </w:pPr>
            <w:proofErr w:type="spellStart"/>
            <w:r>
              <w:t>YASED'i</w:t>
            </w:r>
            <w:proofErr w:type="spellEnd"/>
            <w:r>
              <w:t xml:space="preserve"> muhatap 9.11.2024 tarihli ve </w:t>
            </w:r>
            <w:proofErr w:type="spellStart"/>
            <w:r>
              <w:t>ve</w:t>
            </w:r>
            <w:proofErr w:type="spellEnd"/>
            <w:r>
              <w:t xml:space="preserve"> 102708635 sayılı yazımız.</w:t>
            </w:r>
          </w:p>
          <w:p w14:paraId="412F2C6E" w14:textId="77777777" w:rsidR="00B27346" w:rsidRDefault="00422284">
            <w:pPr>
              <w:spacing w:after="11" w:line="259" w:lineRule="auto"/>
              <w:ind w:left="140" w:firstLine="0"/>
              <w:jc w:val="left"/>
            </w:pPr>
            <w:proofErr w:type="gramStart"/>
            <w:r>
              <w:t>ğ</w:t>
            </w:r>
            <w:proofErr w:type="gramEnd"/>
            <w:r>
              <w:t>) 11.11.2024 tarihli ve 102766385 sayılı yazımız.</w:t>
            </w:r>
          </w:p>
          <w:p w14:paraId="49C8577F" w14:textId="77777777" w:rsidR="00B27346" w:rsidRDefault="00422284">
            <w:pPr>
              <w:numPr>
                <w:ilvl w:val="0"/>
                <w:numId w:val="2"/>
              </w:numPr>
              <w:spacing w:after="287" w:line="259" w:lineRule="auto"/>
              <w:ind w:left="400" w:hanging="260"/>
              <w:jc w:val="left"/>
            </w:pPr>
            <w:r>
              <w:t>3.3.2025 tarihli ve 10</w:t>
            </w:r>
            <w:r>
              <w:t>6566145 sayılı yazımız.</w:t>
            </w:r>
          </w:p>
          <w:p w14:paraId="25D16D51" w14:textId="77777777" w:rsidR="00B27346" w:rsidRDefault="00422284">
            <w:pPr>
              <w:spacing w:after="0" w:line="259" w:lineRule="auto"/>
              <w:ind w:left="150" w:firstLine="0"/>
              <w:jc w:val="left"/>
            </w:pPr>
            <w:r>
              <w:t>İlgide kayıtlı yazılarda, Avrupa Birliği (AB) tarafından devreye alınan İthalat Kontrol Sistemi-2</w:t>
            </w:r>
          </w:p>
        </w:tc>
      </w:tr>
      <w:tr w:rsidR="00B27346" w14:paraId="6C9418AD" w14:textId="77777777">
        <w:trPr>
          <w:trHeight w:val="268"/>
        </w:trPr>
        <w:tc>
          <w:tcPr>
            <w:tcW w:w="700" w:type="dxa"/>
            <w:tcBorders>
              <w:top w:val="nil"/>
              <w:left w:val="nil"/>
              <w:bottom w:val="nil"/>
              <w:right w:val="nil"/>
            </w:tcBorders>
          </w:tcPr>
          <w:p w14:paraId="499DCC04" w14:textId="77777777" w:rsidR="00B27346" w:rsidRDefault="00422284">
            <w:pPr>
              <w:spacing w:after="0" w:line="259" w:lineRule="auto"/>
              <w:ind w:left="0" w:firstLine="0"/>
              <w:jc w:val="left"/>
            </w:pPr>
            <w:r>
              <w:t>(ICS2</w:t>
            </w:r>
          </w:p>
        </w:tc>
        <w:tc>
          <w:tcPr>
            <w:tcW w:w="9496" w:type="dxa"/>
            <w:tcBorders>
              <w:top w:val="nil"/>
              <w:left w:val="nil"/>
              <w:bottom w:val="nil"/>
              <w:right w:val="nil"/>
            </w:tcBorders>
          </w:tcPr>
          <w:p w14:paraId="45A8821B" w14:textId="77777777" w:rsidR="00B27346" w:rsidRDefault="00422284">
            <w:pPr>
              <w:tabs>
                <w:tab w:val="center" w:pos="687"/>
                <w:tab w:val="center" w:pos="1564"/>
                <w:tab w:val="center" w:pos="2508"/>
                <w:tab w:val="center" w:pos="3359"/>
                <w:tab w:val="center" w:pos="4303"/>
                <w:tab w:val="center" w:pos="5347"/>
                <w:tab w:val="center" w:pos="6397"/>
                <w:tab w:val="center" w:pos="7495"/>
                <w:tab w:val="center" w:pos="8212"/>
                <w:tab w:val="right" w:pos="9496"/>
              </w:tabs>
              <w:spacing w:after="0" w:line="259" w:lineRule="auto"/>
              <w:ind w:left="0" w:firstLine="0"/>
              <w:jc w:val="left"/>
            </w:pPr>
            <w:r>
              <w:t>–</w:t>
            </w:r>
            <w:r>
              <w:tab/>
            </w:r>
            <w:proofErr w:type="spellStart"/>
            <w:r>
              <w:t>Import</w:t>
            </w:r>
            <w:proofErr w:type="spellEnd"/>
            <w:r>
              <w:tab/>
              <w:t>Control</w:t>
            </w:r>
            <w:r>
              <w:tab/>
            </w:r>
            <w:proofErr w:type="spellStart"/>
            <w:r>
              <w:t>System</w:t>
            </w:r>
            <w:proofErr w:type="spellEnd"/>
            <w:r>
              <w:t>)</w:t>
            </w:r>
            <w:r>
              <w:tab/>
              <w:t>isimli</w:t>
            </w:r>
            <w:r>
              <w:tab/>
              <w:t>elektronik</w:t>
            </w:r>
            <w:r>
              <w:tab/>
              <w:t>gümrük</w:t>
            </w:r>
            <w:r>
              <w:tab/>
              <w:t>sisteminin</w:t>
            </w:r>
            <w:r>
              <w:tab/>
              <w:t>karayolu</w:t>
            </w:r>
            <w:r>
              <w:tab/>
              <w:t>ve</w:t>
            </w:r>
            <w:r>
              <w:tab/>
              <w:t>demiryolu</w:t>
            </w:r>
          </w:p>
        </w:tc>
      </w:tr>
    </w:tbl>
    <w:p w14:paraId="0883A102" w14:textId="77777777" w:rsidR="00B27346" w:rsidRDefault="00422284">
      <w:pPr>
        <w:ind w:left="650"/>
      </w:pPr>
      <w:r>
        <w:rPr>
          <w:noProof/>
        </w:rPr>
        <w:drawing>
          <wp:anchor distT="0" distB="0" distL="114300" distR="114300" simplePos="0" relativeHeight="251659264" behindDoc="0" locked="0" layoutInCell="1" allowOverlap="0" wp14:anchorId="4DE8F64D" wp14:editId="7D3DCF5F">
            <wp:simplePos x="0" y="0"/>
            <wp:positionH relativeFrom="page">
              <wp:posOffset>333375</wp:posOffset>
            </wp:positionH>
            <wp:positionV relativeFrom="page">
              <wp:posOffset>0</wp:posOffset>
            </wp:positionV>
            <wp:extent cx="1200150" cy="1200150"/>
            <wp:effectExtent l="0" t="0" r="0" b="0"/>
            <wp:wrapSquare wrapText="bothSides"/>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6"/>
                    <a:stretch>
                      <a:fillRect/>
                    </a:stretch>
                  </pic:blipFill>
                  <pic:spPr>
                    <a:xfrm>
                      <a:off x="0" y="0"/>
                      <a:ext cx="1200150" cy="1200150"/>
                    </a:xfrm>
                    <a:prstGeom prst="rect">
                      <a:avLst/>
                    </a:prstGeom>
                  </pic:spPr>
                </pic:pic>
              </a:graphicData>
            </a:graphic>
          </wp:anchor>
        </w:drawing>
      </w:r>
      <w:proofErr w:type="gramStart"/>
      <w:r>
        <w:t>taşımacılıkları</w:t>
      </w:r>
      <w:proofErr w:type="gramEnd"/>
      <w:r>
        <w:t xml:space="preserve"> için 1 Nisan 2025 tarihi itibarıyla </w:t>
      </w:r>
      <w:proofErr w:type="spellStart"/>
      <w:r>
        <w:t>operasyonel</w:t>
      </w:r>
      <w:proofErr w:type="spellEnd"/>
      <w:r>
        <w:t xml:space="preserve"> sürecinin başlayacağı ve sistem gerekliliklerini yerine getiremeyen ekonomik operatörlerin kayıtlı oldukları </w:t>
      </w:r>
      <w:r>
        <w:t>ve Ekonomik Operatör Kayıt ve Tanımlama Numarasını (EORI) edindikleri ilgili AB üye ülkesindeki Ulusal Hizmet Masaları (</w:t>
      </w:r>
      <w:proofErr w:type="spellStart"/>
      <w:r>
        <w:t>National</w:t>
      </w:r>
      <w:proofErr w:type="spellEnd"/>
      <w:r>
        <w:t xml:space="preserve"> Service </w:t>
      </w:r>
      <w:proofErr w:type="spellStart"/>
      <w:r>
        <w:t>Desk</w:t>
      </w:r>
      <w:proofErr w:type="spellEnd"/>
      <w:r>
        <w:t>) ile temasa geçerek en geç 1 Mart 2025 tarihine kadar bir ''kurulum penceresi (</w:t>
      </w:r>
      <w:proofErr w:type="spellStart"/>
      <w:r>
        <w:t>deployment</w:t>
      </w:r>
      <w:proofErr w:type="spellEnd"/>
      <w:r>
        <w:t xml:space="preserve"> </w:t>
      </w:r>
      <w:proofErr w:type="spellStart"/>
      <w:r>
        <w:t>window</w:t>
      </w:r>
      <w:proofErr w:type="spellEnd"/>
      <w:r>
        <w:t xml:space="preserve">)" talep etmeleri </w:t>
      </w:r>
      <w:r>
        <w:t>gerektiği belirtilmişti.</w:t>
      </w:r>
    </w:p>
    <w:p w14:paraId="3CC47C74" w14:textId="77777777" w:rsidR="00B27346" w:rsidRDefault="00422284">
      <w:pPr>
        <w:ind w:left="640" w:firstLine="850"/>
      </w:pPr>
      <w:r>
        <w:t xml:space="preserve">Sektör temsilcilerinden alınan bildirimlerde özellikle karayolu taşımacılığındaki ekonomik operatörlerin sisteme veri girişine olanak sağlayacak teknik gerekliliklerin halihazırda tamamlanmadığı, </w:t>
      </w:r>
      <w:proofErr w:type="gramStart"/>
      <w:r>
        <w:t>sisteme</w:t>
      </w:r>
      <w:proofErr w:type="gramEnd"/>
      <w:r>
        <w:t xml:space="preserve"> tamamıyla geçilmesi öncesinde gerekli tüm hazırlıkla</w:t>
      </w:r>
      <w:r>
        <w:t>rın tamamlanması amacıyla 1 Eylül 2025 tarihine kadar tanınan geçiş süreci için ilgili üye ülke gümrük idarelerinden talepte bulunulmadığı, dolayısıyla 1 Nisan 2025 tarihi itibarıyla bu sektörlerden AB'ye veya AB üzerinden üçüncü ülkelere ihracat işlemi ge</w:t>
      </w:r>
      <w:r>
        <w:t>rçekleştirecek ekonomik operatörlerin sisteme veri girişi sağlayamayacağı için mağdur duruma düşeceği hususları Bakanlığımıza iletilmiştir.</w:t>
      </w:r>
    </w:p>
    <w:p w14:paraId="58E746DB" w14:textId="77777777" w:rsidR="00B27346" w:rsidRDefault="00422284">
      <w:pPr>
        <w:spacing w:after="776"/>
        <w:ind w:left="640" w:firstLine="850"/>
      </w:pPr>
      <w:r>
        <w:t>Bu kapsamda, Avrupa Komisyonu ve üye ülkeler nezdinde gerçekleştirilen temaslar neticesinde normal şartlar altında s</w:t>
      </w:r>
      <w:r>
        <w:t xml:space="preserve">istem sürümünün </w:t>
      </w:r>
      <w:proofErr w:type="spellStart"/>
      <w:r>
        <w:t>operasyonel</w:t>
      </w:r>
      <w:proofErr w:type="spellEnd"/>
      <w:r>
        <w:t xml:space="preserve"> süreci başlamadan bir ay öncesi itibarıyla yapılması tavsiye edilen geçiş süreci talebinin karayolu ve demiryolu taşımalıkları özelinde </w:t>
      </w:r>
      <w:proofErr w:type="spellStart"/>
      <w:r>
        <w:t>operasyonel</w:t>
      </w:r>
      <w:proofErr w:type="spellEnd"/>
      <w:r>
        <w:t xml:space="preserve"> süreç içerisinde de ilgili üye ülke Ulusal Hizmet Masaları ile iletişime geçiler</w:t>
      </w:r>
      <w:r>
        <w:t>ek talep edilebileceği teyit edilmiştir.</w:t>
      </w:r>
    </w:p>
    <w:p w14:paraId="3B961BCC" w14:textId="2AEDB325" w:rsidR="00B27346" w:rsidRDefault="00B27346">
      <w:pPr>
        <w:spacing w:after="187" w:line="259" w:lineRule="auto"/>
        <w:ind w:left="648" w:firstLine="0"/>
        <w:jc w:val="left"/>
      </w:pPr>
    </w:p>
    <w:p w14:paraId="08B52B98" w14:textId="43FFCE48" w:rsidR="00B27346" w:rsidRDefault="00422284">
      <w:pPr>
        <w:pStyle w:val="Balk1"/>
      </w:pPr>
      <w:r>
        <w:t xml:space="preserve">                                                 </w:t>
      </w:r>
    </w:p>
    <w:p w14:paraId="29560876" w14:textId="77777777" w:rsidR="00B27346" w:rsidRDefault="00422284" w:rsidP="00422284">
      <w:r>
        <w:t xml:space="preserve">Bu çerçevede, sistemi kullanacak Türk ihracatçılarınca ve sektör temsilcilerince </w:t>
      </w:r>
      <w:r>
        <w:rPr>
          <w:b/>
          <w:u w:val="single" w:color="000000"/>
        </w:rPr>
        <w:t xml:space="preserve">vakit kaybetmeksizin </w:t>
      </w:r>
      <w:r>
        <w:t>ilgili üye ülke gümrük idarelerine "</w:t>
      </w:r>
      <w:proofErr w:type="spellStart"/>
      <w:r>
        <w:t>deployment</w:t>
      </w:r>
      <w:proofErr w:type="spellEnd"/>
      <w:r>
        <w:t xml:space="preserve"> </w:t>
      </w:r>
      <w:proofErr w:type="spellStart"/>
      <w:r>
        <w:t>window</w:t>
      </w:r>
      <w:proofErr w:type="spellEnd"/>
      <w:r>
        <w:t>" talebinin iletilmesi büyük önem arz etmektedir.</w:t>
      </w:r>
    </w:p>
    <w:p w14:paraId="648F7114" w14:textId="77777777" w:rsidR="00B27346" w:rsidRDefault="00422284">
      <w:pPr>
        <w:ind w:left="640" w:firstLine="850"/>
      </w:pPr>
      <w:r>
        <w:lastRenderedPageBreak/>
        <w:t>Buna ilâve olarak, İtalya ve Bulgaristan Gümrük İda</w:t>
      </w:r>
      <w:r>
        <w:t>releri nezdinde gerçekleştirilen temaslar neticesinde; anılan ülkeler için EORI numarasına sahip uzatma talebinde bulunmak isteyen nakliye firmalarının, bir örneği ekte yer alan form ve e-posta örneğini kullanarak, erteleme başvurularını ilgili üye ülke Ul</w:t>
      </w:r>
      <w:r>
        <w:t>usal Hizmet Masalarına e-posta yoluyla (İtalya için adm.deploymentwindow@adm.gov.it; Bulgaristan için servicedesk@customs.bg) yapmaları gerektiği, ilgili başvuruda EORI kodu ile lojistik süreçteki rolünün (örneğin kara taşıyıcısı, demiryolu taşıyıcısı vb.)</w:t>
      </w:r>
      <w:r>
        <w:t>, talep edilen "</w:t>
      </w:r>
      <w:proofErr w:type="spellStart"/>
      <w:r>
        <w:t>deployment</w:t>
      </w:r>
      <w:proofErr w:type="spellEnd"/>
      <w:r>
        <w:t xml:space="preserve"> </w:t>
      </w:r>
      <w:proofErr w:type="spellStart"/>
      <w:r>
        <w:t>window</w:t>
      </w:r>
      <w:proofErr w:type="spellEnd"/>
      <w:r>
        <w:t>" süresinin (başlangıç ve bitiş tarihi) ve ICS2 sistemine geçiş için öngörülen tarihin belirtilmesi gerektiği bilgisi edinilmiştir.</w:t>
      </w:r>
    </w:p>
    <w:p w14:paraId="6DF200C7" w14:textId="77777777" w:rsidR="00B27346" w:rsidRDefault="00422284">
      <w:pPr>
        <w:ind w:left="640" w:firstLine="850"/>
      </w:pPr>
      <w:r>
        <w:t>Ayrıca, "</w:t>
      </w:r>
      <w:proofErr w:type="spellStart"/>
      <w:r>
        <w:t>deployment</w:t>
      </w:r>
      <w:proofErr w:type="spellEnd"/>
      <w:r>
        <w:t xml:space="preserve"> </w:t>
      </w:r>
      <w:proofErr w:type="spellStart"/>
      <w:r>
        <w:t>window</w:t>
      </w:r>
      <w:proofErr w:type="spellEnd"/>
      <w:r>
        <w:t>" talebinden yalnızca yukarıda belirtilen türdeki operatörlerin y</w:t>
      </w:r>
      <w:r>
        <w:t>ararlanabileceği, diğer kişi ya da kuruluşlar için geçiş süreciyle ilgili zaman pencerelerinin kapanmış olduğu, birden fazla taşıma türüyle faaliyet gösteren ekonomik operatörlerin tüm beyanları için yalnızca tek bir aktivasyon tarihi seçmek zorunda olduğu</w:t>
      </w:r>
      <w:r>
        <w:t>, aynı lojistik zincirde birden fazla rolü olan operatörlerin, önceki bir başvurusu bulunuyorsa tekrar "</w:t>
      </w:r>
      <w:proofErr w:type="spellStart"/>
      <w:r>
        <w:t>deployment</w:t>
      </w:r>
      <w:proofErr w:type="spellEnd"/>
      <w:r>
        <w:t xml:space="preserve"> </w:t>
      </w:r>
      <w:proofErr w:type="spellStart"/>
      <w:r>
        <w:t>window</w:t>
      </w:r>
      <w:proofErr w:type="spellEnd"/>
      <w:r>
        <w:t>" talebinde bulunmalarının mümkün olmadığı öğrenilmiştir.</w:t>
      </w:r>
    </w:p>
    <w:p w14:paraId="7814BD70" w14:textId="77777777" w:rsidR="00B27346" w:rsidRDefault="00422284">
      <w:pPr>
        <w:ind w:left="640" w:firstLine="850"/>
      </w:pPr>
      <w:r>
        <w:t>Sonuç olarak, anılan geçiş sürecinin 1 Nisan 2025 ilâ 1 Eylül 2025 tarihi ara</w:t>
      </w:r>
      <w:r>
        <w:t>sında olduğu, 1 Eylül 2025 tarihi itibarıyla sona ereceği ve bu tarihe kadar sistemin kullanımına bütünüyle hazır olunması gerektiğinin hatırlatılmasında fayda görülmektedir.</w:t>
      </w:r>
    </w:p>
    <w:p w14:paraId="4EB4684C" w14:textId="77777777" w:rsidR="00B27346" w:rsidRDefault="00422284">
      <w:pPr>
        <w:spacing w:after="47" w:line="265" w:lineRule="auto"/>
        <w:ind w:left="10" w:right="-14"/>
        <w:jc w:val="right"/>
      </w:pPr>
      <w:r>
        <w:t>Bilgilerini ve konuya ilişkin olarak anılan sistemden etkilenmesi muhtemel tüm pa</w:t>
      </w:r>
      <w:r>
        <w:t>ydaşların</w:t>
      </w:r>
    </w:p>
    <w:p w14:paraId="7A121A20" w14:textId="77777777" w:rsidR="00B27346" w:rsidRDefault="00422284">
      <w:pPr>
        <w:spacing w:after="645"/>
        <w:ind w:left="650"/>
      </w:pPr>
      <w:proofErr w:type="gramStart"/>
      <w:r>
        <w:t>bilgilendirilmesi</w:t>
      </w:r>
      <w:proofErr w:type="gramEnd"/>
      <w:r>
        <w:t xml:space="preserve"> hususunda gereğini arz/rica ederim.</w:t>
      </w:r>
    </w:p>
    <w:p w14:paraId="23813AC2" w14:textId="77777777" w:rsidR="00B27346" w:rsidRDefault="00422284">
      <w:pPr>
        <w:spacing w:after="5" w:line="264" w:lineRule="auto"/>
        <w:ind w:left="7113" w:right="1049"/>
        <w:jc w:val="center"/>
      </w:pPr>
      <w:r>
        <w:t>Atilla BASTIRMACI Bakan a.</w:t>
      </w:r>
    </w:p>
    <w:p w14:paraId="2FB7E524" w14:textId="77777777" w:rsidR="00B27346" w:rsidRDefault="00422284">
      <w:pPr>
        <w:spacing w:after="528" w:line="265" w:lineRule="auto"/>
        <w:ind w:left="10" w:right="1205"/>
        <w:jc w:val="right"/>
      </w:pPr>
      <w:r>
        <w:t>Genel Müdür Yardımcısı</w:t>
      </w:r>
    </w:p>
    <w:p w14:paraId="3CDE668D" w14:textId="77777777" w:rsidR="00B27346" w:rsidRDefault="00422284">
      <w:pPr>
        <w:ind w:left="650"/>
      </w:pPr>
      <w:r>
        <w:t>Ekler:</w:t>
      </w:r>
    </w:p>
    <w:p w14:paraId="3B110C36" w14:textId="77777777" w:rsidR="00B27346" w:rsidRDefault="00422284">
      <w:pPr>
        <w:numPr>
          <w:ilvl w:val="0"/>
          <w:numId w:val="1"/>
        </w:numPr>
        <w:ind w:hanging="260"/>
      </w:pPr>
      <w:r>
        <w:t>Bulgaristan Gümrük İdaresi e-posta örneği</w:t>
      </w:r>
    </w:p>
    <w:p w14:paraId="180E370E" w14:textId="77777777" w:rsidR="00B27346" w:rsidRDefault="00422284">
      <w:pPr>
        <w:numPr>
          <w:ilvl w:val="0"/>
          <w:numId w:val="1"/>
        </w:numPr>
        <w:spacing w:after="478"/>
        <w:ind w:hanging="260"/>
      </w:pPr>
      <w:r>
        <w:t>İtalya Gümrük İdaresi başvuru belgesi</w:t>
      </w:r>
    </w:p>
    <w:p w14:paraId="7462D9D7" w14:textId="77777777" w:rsidR="00B27346" w:rsidRDefault="00422284">
      <w:pPr>
        <w:spacing w:after="197" w:line="259" w:lineRule="auto"/>
        <w:ind w:left="755"/>
        <w:jc w:val="left"/>
      </w:pPr>
      <w:r>
        <w:rPr>
          <w:u w:val="single" w:color="000000"/>
        </w:rPr>
        <w:t>Dağıtım:</w:t>
      </w:r>
    </w:p>
    <w:p w14:paraId="0F4C116F" w14:textId="77777777" w:rsidR="00B27346" w:rsidRDefault="00422284">
      <w:pPr>
        <w:spacing w:after="197" w:line="259" w:lineRule="auto"/>
        <w:ind w:left="755"/>
        <w:jc w:val="left"/>
      </w:pPr>
      <w:r>
        <w:rPr>
          <w:u w:val="single" w:color="000000"/>
        </w:rPr>
        <w:t>Gereği</w:t>
      </w:r>
    </w:p>
    <w:p w14:paraId="74457A68" w14:textId="77777777" w:rsidR="00B27346" w:rsidRDefault="00422284">
      <w:pPr>
        <w:ind w:left="770"/>
      </w:pPr>
      <w:r>
        <w:t>(KEP)</w:t>
      </w:r>
    </w:p>
    <w:p w14:paraId="2875D2A1" w14:textId="77777777" w:rsidR="00B27346" w:rsidRDefault="00422284">
      <w:pPr>
        <w:ind w:left="770"/>
      </w:pPr>
      <w:r>
        <w:t>Dış Ekonomik İlişkiler Kuruluna (DEİK)</w:t>
      </w:r>
    </w:p>
    <w:p w14:paraId="4B1E453A" w14:textId="77777777" w:rsidR="00B27346" w:rsidRDefault="00422284">
      <w:pPr>
        <w:ind w:left="770"/>
      </w:pPr>
      <w:r>
        <w:t xml:space="preserve">Müstakil Sanayici ve </w:t>
      </w:r>
      <w:proofErr w:type="gramStart"/>
      <w:r>
        <w:t>İşadamları</w:t>
      </w:r>
      <w:proofErr w:type="gramEnd"/>
      <w:r>
        <w:t xml:space="preserve"> Derneğine (MÜSİAD)</w:t>
      </w:r>
    </w:p>
    <w:p w14:paraId="63529AA2" w14:textId="77777777" w:rsidR="00B27346" w:rsidRDefault="00422284">
      <w:pPr>
        <w:ind w:left="770"/>
      </w:pPr>
      <w:r>
        <w:t xml:space="preserve">Türk Sanayici ve </w:t>
      </w:r>
      <w:proofErr w:type="gramStart"/>
      <w:r>
        <w:t>İşadamları</w:t>
      </w:r>
      <w:proofErr w:type="gramEnd"/>
      <w:r>
        <w:t xml:space="preserve"> Derneğine (TÜSİAD)</w:t>
      </w:r>
    </w:p>
    <w:p w14:paraId="73032D83" w14:textId="77777777" w:rsidR="00B27346" w:rsidRDefault="00422284">
      <w:pPr>
        <w:spacing w:after="329"/>
        <w:ind w:left="770"/>
      </w:pPr>
      <w:r>
        <w:t>Türkiye Odalar ve Borsalar Birliğine (TOBB)</w:t>
      </w:r>
    </w:p>
    <w:p w14:paraId="5BF5F3AC" w14:textId="47997A72" w:rsidR="00B27346" w:rsidRDefault="00B27346">
      <w:pPr>
        <w:spacing w:after="0" w:line="259" w:lineRule="auto"/>
        <w:ind w:left="648" w:firstLine="0"/>
        <w:jc w:val="left"/>
      </w:pPr>
    </w:p>
    <w:sectPr w:rsidR="00B27346">
      <w:pgSz w:w="11906" w:h="16838"/>
      <w:pgMar w:top="238" w:right="855" w:bottom="68"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42566"/>
    <w:multiLevelType w:val="hybridMultilevel"/>
    <w:tmpl w:val="0008A91C"/>
    <w:lvl w:ilvl="0" w:tplc="2C30AB5A">
      <w:start w:val="2"/>
      <w:numFmt w:val="lowerLetter"/>
      <w:lvlText w:val="%1)"/>
      <w:lvlJc w:val="left"/>
      <w:pPr>
        <w:ind w:left="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E40CDC">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56B614">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40C494">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2AC9BA">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E896C">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86CCA">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94FBC4">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8EDF2">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34144B"/>
    <w:multiLevelType w:val="hybridMultilevel"/>
    <w:tmpl w:val="4EAC8A90"/>
    <w:lvl w:ilvl="0" w:tplc="515C8644">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F66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C822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061E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8D3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857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CED1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2A09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4F7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46"/>
    <w:rsid w:val="00422284"/>
    <w:rsid w:val="00B27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9A39"/>
  <w15:docId w15:val="{610DA4E7-1E0E-4AE6-8364-211A20C1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302" w:lineRule="auto"/>
      <w:ind w:left="33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0"/>
      <w:outlineLvl w:val="0"/>
    </w:pPr>
    <w:rPr>
      <w:rFonts w:ascii="Arial" w:eastAsia="Arial" w:hAnsi="Arial" w:cs="Arial"/>
      <w:b/>
      <w:color w:val="A9A9A9"/>
      <w:sz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A9A9A9"/>
      <w:sz w:val="1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2</cp:revision>
  <dcterms:created xsi:type="dcterms:W3CDTF">2025-04-25T05:46:00Z</dcterms:created>
  <dcterms:modified xsi:type="dcterms:W3CDTF">2025-04-25T05:46:00Z</dcterms:modified>
</cp:coreProperties>
</file>